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40" w:rsidRDefault="00A01F40" w:rsidP="00DD6BA3">
      <w:pPr>
        <w:jc w:val="center"/>
      </w:pPr>
      <w:r w:rsidRPr="00A01F40">
        <w:drawing>
          <wp:inline distT="0" distB="0" distL="0" distR="0">
            <wp:extent cx="1800000" cy="515876"/>
            <wp:effectExtent l="25400" t="0" r="3400" b="0"/>
            <wp:docPr id="2" name="Immagine 0" descr="FONDAZIONE_DE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_DEF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40" w:rsidRDefault="00A01F40" w:rsidP="00DD6BA3">
      <w:pPr>
        <w:jc w:val="center"/>
      </w:pPr>
    </w:p>
    <w:p w:rsidR="00A01F40" w:rsidRDefault="00A01F40" w:rsidP="00DD6BA3">
      <w:pPr>
        <w:jc w:val="center"/>
      </w:pPr>
    </w:p>
    <w:p w:rsidR="00A01F40" w:rsidRDefault="00A01F40" w:rsidP="00DD6BA3">
      <w:pPr>
        <w:jc w:val="center"/>
      </w:pPr>
    </w:p>
    <w:p w:rsidR="00DD6BA3" w:rsidRDefault="00DD6BA3" w:rsidP="00DD6BA3">
      <w:pPr>
        <w:jc w:val="center"/>
      </w:pPr>
      <w:r>
        <w:t>Comunicato stampa</w:t>
      </w:r>
    </w:p>
    <w:p w:rsidR="00DD6BA3" w:rsidRDefault="00DD6BA3" w:rsidP="00DD6BA3">
      <w:pPr>
        <w:jc w:val="right"/>
      </w:pPr>
      <w:r>
        <w:t>Bologna, 12 giugno 2014</w:t>
      </w:r>
    </w:p>
    <w:p w:rsidR="00DD6BA3" w:rsidRDefault="00DD6BA3" w:rsidP="00DD6BA3">
      <w:pPr>
        <w:jc w:val="right"/>
      </w:pPr>
    </w:p>
    <w:p w:rsidR="00DD6BA3" w:rsidRDefault="00DD6BA3" w:rsidP="00DD6BA3">
      <w:pPr>
        <w:jc w:val="right"/>
      </w:pPr>
    </w:p>
    <w:p w:rsidR="00DD6BA3" w:rsidRDefault="00DD6BA3" w:rsidP="00DD6BA3">
      <w:pPr>
        <w:jc w:val="right"/>
      </w:pPr>
    </w:p>
    <w:p w:rsidR="00DD6BA3" w:rsidRDefault="00DD6BA3" w:rsidP="00DD6BA3">
      <w:pPr>
        <w:tabs>
          <w:tab w:val="left" w:pos="1173"/>
        </w:tabs>
      </w:pPr>
      <w:r>
        <w:t xml:space="preserve">Presentato a Bologna </w:t>
      </w:r>
      <w:proofErr w:type="spellStart"/>
      <w:r>
        <w:t>Petroleum</w:t>
      </w:r>
      <w:proofErr w:type="spellEnd"/>
    </w:p>
    <w:p w:rsidR="00DD6BA3" w:rsidRDefault="00DD6BA3" w:rsidP="00DD6BA3">
      <w:pPr>
        <w:tabs>
          <w:tab w:val="left" w:pos="1173"/>
        </w:tabs>
      </w:pPr>
    </w:p>
    <w:p w:rsidR="00DD6BA3" w:rsidRDefault="00DD6BA3" w:rsidP="00DD6BA3">
      <w:pPr>
        <w:tabs>
          <w:tab w:val="left" w:pos="1173"/>
        </w:tabs>
        <w:rPr>
          <w:b/>
        </w:rPr>
      </w:pPr>
      <w:r w:rsidRPr="00DD6BA3">
        <w:rPr>
          <w:b/>
        </w:rPr>
        <w:t>Cultura, am</w:t>
      </w:r>
      <w:r>
        <w:rPr>
          <w:b/>
        </w:rPr>
        <w:t xml:space="preserve">biente, </w:t>
      </w:r>
      <w:r w:rsidR="002C5ACF">
        <w:rPr>
          <w:b/>
        </w:rPr>
        <w:t xml:space="preserve">turismo, </w:t>
      </w:r>
      <w:r>
        <w:rPr>
          <w:b/>
        </w:rPr>
        <w:t xml:space="preserve">enogastronomia per creare occupazione </w:t>
      </w:r>
      <w:proofErr w:type="gramStart"/>
      <w:r>
        <w:rPr>
          <w:b/>
        </w:rPr>
        <w:t>giovanile</w:t>
      </w:r>
      <w:proofErr w:type="gramEnd"/>
    </w:p>
    <w:p w:rsidR="00DD6BA3" w:rsidRDefault="00DD6BA3" w:rsidP="00DD6BA3">
      <w:pPr>
        <w:tabs>
          <w:tab w:val="left" w:pos="1173"/>
        </w:tabs>
      </w:pPr>
      <w:r>
        <w:t xml:space="preserve">Il progetto della Fondazione Obiettivo Lavoro prevede anche la </w:t>
      </w:r>
      <w:proofErr w:type="gramStart"/>
      <w:r>
        <w:t>promozione</w:t>
      </w:r>
      <w:proofErr w:type="gramEnd"/>
      <w:r>
        <w:t xml:space="preserve"> di un fondo di microcr</w:t>
      </w:r>
      <w:r>
        <w:t>e</w:t>
      </w:r>
      <w:r>
        <w:t>dito per le start-up di giovani</w:t>
      </w:r>
    </w:p>
    <w:p w:rsidR="00DD6BA3" w:rsidRDefault="00DD6BA3" w:rsidP="00DD6BA3">
      <w:pPr>
        <w:tabs>
          <w:tab w:val="left" w:pos="1173"/>
        </w:tabs>
      </w:pPr>
    </w:p>
    <w:p w:rsidR="00DD6BA3" w:rsidRDefault="00DD6BA3" w:rsidP="00DD6BA3">
      <w:pPr>
        <w:tabs>
          <w:tab w:val="left" w:pos="1173"/>
        </w:tabs>
      </w:pPr>
      <w:r>
        <w:t xml:space="preserve">Il patrimonio </w:t>
      </w:r>
      <w:r w:rsidR="002C5ACF">
        <w:t>turistico</w:t>
      </w:r>
      <w:r w:rsidR="007B67F4">
        <w:t xml:space="preserve"> </w:t>
      </w:r>
      <w:r>
        <w:t>culturale, ambientale, enogastronomico italiano e la massa sempre crescente di giovani in cerca di occupazione: sono due elementi di un binomio che, se messi nella giusta relazione, possono in poco tempo moltiplicare i posti di lavoro con la creazione di nuove imprese.</w:t>
      </w:r>
    </w:p>
    <w:p w:rsidR="00DD6BA3" w:rsidRDefault="00DD6BA3" w:rsidP="00DD6BA3">
      <w:pPr>
        <w:tabs>
          <w:tab w:val="left" w:pos="1173"/>
        </w:tabs>
      </w:pPr>
      <w:r>
        <w:t xml:space="preserve">È questa </w:t>
      </w:r>
      <w:r w:rsidR="002C5ACF">
        <w:t>la tesi</w:t>
      </w:r>
      <w:r>
        <w:t xml:space="preserve"> sostenuta da </w:t>
      </w:r>
      <w:proofErr w:type="spellStart"/>
      <w:r>
        <w:t>Petroleum</w:t>
      </w:r>
      <w:proofErr w:type="spellEnd"/>
      <w:r>
        <w:t>, il progetto della Fondazione Obiettivo Lavoro presentato ieri a Bologna.</w:t>
      </w:r>
    </w:p>
    <w:p w:rsidR="00DD6BA3" w:rsidRDefault="00DD6BA3" w:rsidP="00DD6BA3">
      <w:pPr>
        <w:tabs>
          <w:tab w:val="left" w:pos="1173"/>
        </w:tabs>
      </w:pPr>
      <w:r>
        <w:t xml:space="preserve">Il carattere innovativo del progetto sta nel fatto che individua gli interlocutori che possono sostenere le iniziative, </w:t>
      </w:r>
      <w:proofErr w:type="gramStart"/>
      <w:r>
        <w:t>indica</w:t>
      </w:r>
      <w:proofErr w:type="gramEnd"/>
      <w:r>
        <w:t xml:space="preserve"> risorse europee e italiane finora inutilizzate che possono finanziarne la realizzazione e modalità organizzative concrete. </w:t>
      </w:r>
    </w:p>
    <w:p w:rsidR="00DD6BA3" w:rsidRPr="007B67F4" w:rsidRDefault="00DD6BA3" w:rsidP="00DD6BA3">
      <w:pPr>
        <w:tabs>
          <w:tab w:val="left" w:pos="1173"/>
        </w:tabs>
        <w:rPr>
          <w:b/>
        </w:rPr>
      </w:pPr>
      <w:r w:rsidRPr="007B67F4">
        <w:rPr>
          <w:b/>
        </w:rPr>
        <w:t xml:space="preserve">Inoltre la Fondazione Obiettivo Lavoro, ha annunciato il presidente </w:t>
      </w:r>
      <w:proofErr w:type="spellStart"/>
      <w:r w:rsidRPr="007B67F4">
        <w:rPr>
          <w:b/>
        </w:rPr>
        <w:t>Vittadini</w:t>
      </w:r>
      <w:proofErr w:type="spellEnd"/>
      <w:r w:rsidRPr="007B67F4">
        <w:rPr>
          <w:b/>
        </w:rPr>
        <w:t xml:space="preserve">, </w:t>
      </w:r>
      <w:proofErr w:type="gramStart"/>
      <w:r w:rsidRPr="007B67F4">
        <w:rPr>
          <w:b/>
        </w:rPr>
        <w:t>darà vita</w:t>
      </w:r>
      <w:proofErr w:type="gramEnd"/>
      <w:r w:rsidRPr="007B67F4">
        <w:rPr>
          <w:b/>
        </w:rPr>
        <w:t xml:space="preserve"> a un fondo di microcredito per favorire la costituzione di imprese giovanili che vogliono operare in questi settori.</w:t>
      </w:r>
    </w:p>
    <w:p w:rsidR="00A8111A" w:rsidRDefault="00DD6BA3" w:rsidP="00DD6BA3">
      <w:pPr>
        <w:tabs>
          <w:tab w:val="left" w:pos="1173"/>
        </w:tabs>
      </w:pPr>
      <w:r>
        <w:t>“Partiamo da un presupposto</w:t>
      </w:r>
      <w:r w:rsidR="00A8111A">
        <w:t>,</w:t>
      </w:r>
      <w:r>
        <w:t xml:space="preserve"> – ha dichiarato </w:t>
      </w:r>
      <w:proofErr w:type="spellStart"/>
      <w:r>
        <w:t>Vittadini</w:t>
      </w:r>
      <w:proofErr w:type="spellEnd"/>
      <w:r>
        <w:t xml:space="preserve"> – sono le iniziative imprenditoriali e non le r</w:t>
      </w:r>
      <w:r>
        <w:t>e</w:t>
      </w:r>
      <w:r>
        <w:t>gole del mercato del lavoro a sviluppare l’occupazione. Le opportunità possono diventare posti di lav</w:t>
      </w:r>
      <w:r>
        <w:t>o</w:t>
      </w:r>
      <w:r>
        <w:t xml:space="preserve">ro finanziando lo start up </w:t>
      </w:r>
      <w:proofErr w:type="gramStart"/>
      <w:r>
        <w:t xml:space="preserve">di </w:t>
      </w:r>
      <w:proofErr w:type="gramEnd"/>
      <w:r>
        <w:t>imprese con risorse pubbliche europee di dimensioni significative e altr</w:t>
      </w:r>
      <w:r>
        <w:t>i</w:t>
      </w:r>
      <w:r>
        <w:t xml:space="preserve">menti inutilizzate”. </w:t>
      </w:r>
    </w:p>
    <w:p w:rsidR="00455589" w:rsidRDefault="00A8111A" w:rsidP="00455589">
      <w:pPr>
        <w:tabs>
          <w:tab w:val="left" w:pos="1173"/>
        </w:tabs>
        <w:jc w:val="left"/>
      </w:pPr>
      <w:r w:rsidRPr="00A8111A">
        <w:t>Un forte investimento di risorse pubbliche e una marcata campagna che valorizzi il “petrolio italiano” possono essere uno straordinario volano anche di ripresa economica. </w:t>
      </w:r>
    </w:p>
    <w:p w:rsidR="00455589" w:rsidRPr="00455589" w:rsidRDefault="00455589" w:rsidP="00455589">
      <w:pPr>
        <w:tabs>
          <w:tab w:val="left" w:pos="1173"/>
        </w:tabs>
        <w:jc w:val="left"/>
      </w:pPr>
      <w:r>
        <w:t>Alcuni dati:</w:t>
      </w:r>
    </w:p>
    <w:p w:rsidR="00A8111A" w:rsidRPr="00A8111A" w:rsidRDefault="00455589" w:rsidP="00455589">
      <w:pPr>
        <w:tabs>
          <w:tab w:val="left" w:pos="1173"/>
        </w:tabs>
        <w:jc w:val="left"/>
      </w:pPr>
      <w:r w:rsidRPr="00455589">
        <w:t xml:space="preserve">- </w:t>
      </w:r>
      <w:r w:rsidRPr="00ED2C80">
        <w:rPr>
          <w:b/>
        </w:rPr>
        <w:t>un incremento di PIL di 100 euro nel settore culturale, ne genera 249 per il sistema econom</w:t>
      </w:r>
      <w:r w:rsidRPr="00ED2C80">
        <w:rPr>
          <w:b/>
        </w:rPr>
        <w:t>i</w:t>
      </w:r>
      <w:r w:rsidRPr="00ED2C80">
        <w:rPr>
          <w:b/>
        </w:rPr>
        <w:t xml:space="preserve">co, di cui 134 al di fuori </w:t>
      </w:r>
      <w:proofErr w:type="gramStart"/>
      <w:r w:rsidRPr="00ED2C80">
        <w:rPr>
          <w:b/>
        </w:rPr>
        <w:t>del</w:t>
      </w:r>
      <w:proofErr w:type="gramEnd"/>
      <w:r w:rsidRPr="00ED2C80">
        <w:rPr>
          <w:b/>
        </w:rPr>
        <w:t xml:space="preserve"> sistema culturale</w:t>
      </w:r>
      <w:r w:rsidRPr="00455589">
        <w:t>; </w:t>
      </w:r>
      <w:r w:rsidRPr="00455589">
        <w:br/>
        <w:t xml:space="preserve">- </w:t>
      </w:r>
      <w:r w:rsidRPr="00ED2C80">
        <w:rPr>
          <w:b/>
        </w:rPr>
        <w:t xml:space="preserve">due posti di lavoro creati nel settore ne generano uno in un </w:t>
      </w:r>
      <w:proofErr w:type="gramStart"/>
      <w:r w:rsidRPr="00ED2C80">
        <w:rPr>
          <w:b/>
        </w:rPr>
        <w:t>settore</w:t>
      </w:r>
      <w:proofErr w:type="gramEnd"/>
      <w:r w:rsidRPr="00ED2C80">
        <w:rPr>
          <w:b/>
        </w:rPr>
        <w:t xml:space="preserve"> diverso</w:t>
      </w:r>
      <w:r w:rsidRPr="00455589">
        <w:t>; </w:t>
      </w:r>
      <w:r w:rsidRPr="00455589">
        <w:br/>
        <w:t xml:space="preserve">- si registra anche un collegamento tra il settore culturale e l'industria manifatturiera, che beneficia di </w:t>
      </w:r>
      <w:proofErr w:type="gramStart"/>
      <w:r w:rsidRPr="00455589">
        <w:t>62</w:t>
      </w:r>
      <w:proofErr w:type="gramEnd"/>
      <w:r w:rsidRPr="00455589">
        <w:t xml:space="preserve"> euro di PIL ogni 100 euro di investimento, e di 0,13 unità di lavoro per ogni addetto in più nel settore cu</w:t>
      </w:r>
      <w:r>
        <w:t>ltura.</w:t>
      </w:r>
      <w:r w:rsidR="00A8111A" w:rsidRPr="00A8111A">
        <w:br/>
        <w:t xml:space="preserve">I giacimenti culturali </w:t>
      </w:r>
      <w:proofErr w:type="gramStart"/>
      <w:r w:rsidR="00A8111A" w:rsidRPr="00A8111A">
        <w:t>ed</w:t>
      </w:r>
      <w:proofErr w:type="gramEnd"/>
      <w:r w:rsidR="00A8111A" w:rsidRPr="00A8111A">
        <w:t xml:space="preserve"> ambientali - il nostro “petrolio”- non sono </w:t>
      </w:r>
      <w:proofErr w:type="spellStart"/>
      <w:r w:rsidR="00A8111A" w:rsidRPr="00A8111A">
        <w:t>delocalizzabili</w:t>
      </w:r>
      <w:proofErr w:type="spellEnd"/>
      <w:r w:rsidR="00A8111A" w:rsidRPr="00A8111A">
        <w:t>; i giovani e le loro prospettive di vita ed autorealizzazione – il nostro “carburante” – possono ess</w:t>
      </w:r>
      <w:r w:rsidR="00A8111A">
        <w:t>ere trattenuti e valorizzati in Italia.</w:t>
      </w:r>
      <w:r w:rsidR="00A8111A">
        <w:br/>
        <w:t>È</w:t>
      </w:r>
      <w:r w:rsidR="00A8111A" w:rsidRPr="00A8111A">
        <w:t xml:space="preserve"> possibile, oltre che necessario, prospettare un nuovo slancio a forme di auto-imprenditorialità sost</w:t>
      </w:r>
      <w:r w:rsidR="00A8111A" w:rsidRPr="00A8111A">
        <w:t>e</w:t>
      </w:r>
      <w:r w:rsidR="00A8111A" w:rsidRPr="00A8111A">
        <w:t xml:space="preserve">nute nell’avviamento ma del tutto estranee a </w:t>
      </w:r>
      <w:r>
        <w:t xml:space="preserve">ogni </w:t>
      </w:r>
      <w:r w:rsidR="00A8111A" w:rsidRPr="00A8111A">
        <w:t>forma di assistenzialismo. </w:t>
      </w:r>
      <w:r w:rsidR="00A8111A" w:rsidRPr="00A8111A">
        <w:br/>
        <w:t>Le risorse utilizzabili possono provenire da un prioritario orientamento dei Fondi Europei per il sette</w:t>
      </w:r>
      <w:r w:rsidR="00A8111A" w:rsidRPr="00A8111A">
        <w:t>n</w:t>
      </w:r>
      <w:r w:rsidR="00A8111A">
        <w:t>nato</w:t>
      </w:r>
      <w:r w:rsidR="00A8111A" w:rsidRPr="00A8111A">
        <w:t>2014/2020. </w:t>
      </w:r>
      <w:r w:rsidR="00A8111A">
        <w:br/>
      </w:r>
      <w:r w:rsidR="00A75ECC">
        <w:t xml:space="preserve">In primo luogo </w:t>
      </w:r>
      <w:r w:rsidR="00A8111A" w:rsidRPr="00A8111A">
        <w:t>i Fondi strutturali di titolarità comunitaria:</w:t>
      </w:r>
    </w:p>
    <w:p w:rsidR="00A8111A" w:rsidRPr="00A8111A" w:rsidRDefault="00A8111A" w:rsidP="00A8111A">
      <w:pPr>
        <w:tabs>
          <w:tab w:val="left" w:pos="1173"/>
        </w:tabs>
        <w:jc w:val="left"/>
      </w:pPr>
      <w:r w:rsidRPr="00A8111A">
        <w:t xml:space="preserve">• </w:t>
      </w:r>
      <w:r w:rsidRPr="00A01F40">
        <w:rPr>
          <w:b/>
        </w:rPr>
        <w:t>FSE, Fondo Sociale Europeo per la parte di formazione</w:t>
      </w:r>
      <w:r w:rsidRPr="00A8111A">
        <w:t>, inserimento lav</w:t>
      </w:r>
      <w:r>
        <w:t>orativo e supporto tecn</w:t>
      </w:r>
      <w:r>
        <w:t>i</w:t>
      </w:r>
      <w:r>
        <w:t>co a</w:t>
      </w:r>
      <w:r>
        <w:t>l</w:t>
      </w:r>
      <w:r>
        <w:t>la creazione d’</w:t>
      </w:r>
      <w:r w:rsidRPr="00A8111A">
        <w:t>impresa; </w:t>
      </w:r>
      <w:r w:rsidRPr="00A8111A">
        <w:br/>
        <w:t xml:space="preserve">• </w:t>
      </w:r>
      <w:r w:rsidRPr="00A01F40">
        <w:rPr>
          <w:b/>
        </w:rPr>
        <w:t>FESR, Fondo Sociale Europeo per lo sviluppo economico</w:t>
      </w:r>
      <w:r w:rsidRPr="00A8111A">
        <w:t>, che destina alle regioni contributi a sost</w:t>
      </w:r>
      <w:r w:rsidRPr="00A8111A">
        <w:t>e</w:t>
      </w:r>
      <w:r w:rsidRPr="00A8111A">
        <w:t>gno delle imprese, con particolare attenzione alle più piccole.</w:t>
      </w:r>
    </w:p>
    <w:p w:rsidR="00455589" w:rsidRDefault="00A8111A" w:rsidP="00A8111A">
      <w:pPr>
        <w:tabs>
          <w:tab w:val="left" w:pos="1173"/>
        </w:tabs>
      </w:pPr>
      <w:proofErr w:type="gramStart"/>
      <w:r w:rsidRPr="00A8111A">
        <w:t>Ad</w:t>
      </w:r>
      <w:proofErr w:type="gramEnd"/>
      <w:r w:rsidRPr="00A8111A">
        <w:t xml:space="preserve"> essi si aggiungono le disponibilità e gli orientamenti di investimento della </w:t>
      </w:r>
      <w:r w:rsidRPr="00A01F40">
        <w:rPr>
          <w:b/>
        </w:rPr>
        <w:t>Cassa Depositi e Prest</w:t>
      </w:r>
      <w:r w:rsidRPr="00A01F40">
        <w:rPr>
          <w:b/>
        </w:rPr>
        <w:t>i</w:t>
      </w:r>
      <w:r w:rsidRPr="00A01F40">
        <w:rPr>
          <w:b/>
        </w:rPr>
        <w:t>ti</w:t>
      </w:r>
      <w:r w:rsidRPr="00A8111A">
        <w:t xml:space="preserve">, ad esempio il </w:t>
      </w:r>
      <w:r w:rsidRPr="00A01F40">
        <w:rPr>
          <w:b/>
        </w:rPr>
        <w:t>Fondo strategico</w:t>
      </w:r>
      <w:r w:rsidRPr="00A8111A">
        <w:t xml:space="preserve"> destinato in parte al rilancio del turismo e la riqualificazione di stru</w:t>
      </w:r>
      <w:r w:rsidRPr="00A8111A">
        <w:t>t</w:t>
      </w:r>
      <w:r w:rsidRPr="00A8111A">
        <w:t xml:space="preserve">ture pubbliche dismesse. Infine, gli </w:t>
      </w:r>
      <w:r w:rsidRPr="00A01F40">
        <w:rPr>
          <w:b/>
        </w:rPr>
        <w:t>Enti Locali (Regioni, Province, Comuni)</w:t>
      </w:r>
      <w:r w:rsidRPr="00A8111A">
        <w:t xml:space="preserve"> possono partec</w:t>
      </w:r>
      <w:r w:rsidRPr="00A8111A">
        <w:t>i</w:t>
      </w:r>
      <w:r w:rsidRPr="00A8111A">
        <w:t>pare e contr</w:t>
      </w:r>
      <w:r w:rsidRPr="00A8111A">
        <w:t>i</w:t>
      </w:r>
      <w:r w:rsidRPr="00A8111A">
        <w:t>buire allo sviluppo di queste opportunità mettendo a disposizione risorse del patri</w:t>
      </w:r>
      <w:r w:rsidR="00455589">
        <w:t>monio pubblico da essi gestito:</w:t>
      </w:r>
      <w:r w:rsidRPr="00A8111A">
        <w:t xml:space="preserve"> strutture inutilizzate e/o da riqualificare (da edifici scolastici in disuso </w:t>
      </w:r>
      <w:proofErr w:type="gramStart"/>
      <w:r w:rsidRPr="00A8111A">
        <w:t>ad</w:t>
      </w:r>
      <w:proofErr w:type="gramEnd"/>
      <w:r w:rsidRPr="00A8111A">
        <w:t xml:space="preserve"> ex stazioni ferr</w:t>
      </w:r>
      <w:r w:rsidRPr="00A8111A">
        <w:t>o</w:t>
      </w:r>
      <w:r w:rsidR="00455589">
        <w:t>viarie, ecc.).</w:t>
      </w: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</w:p>
    <w:p w:rsidR="00455589" w:rsidRDefault="00455589" w:rsidP="00A8111A">
      <w:pPr>
        <w:tabs>
          <w:tab w:val="left" w:pos="1173"/>
        </w:tabs>
      </w:pPr>
      <w:r>
        <w:t xml:space="preserve">Info: </w:t>
      </w:r>
      <w:hyperlink r:id="rId5" w:history="1">
        <w:r w:rsidRPr="00FC3A15">
          <w:rPr>
            <w:rStyle w:val="Collegamentoipertestuale"/>
          </w:rPr>
          <w:t>marcomaggi@obiettivolavoro.it</w:t>
        </w:r>
      </w:hyperlink>
    </w:p>
    <w:p w:rsidR="00455589" w:rsidRDefault="006C14BD" w:rsidP="00455589">
      <w:pPr>
        <w:spacing w:after="0"/>
      </w:pPr>
      <w:hyperlink r:id="rId6" w:history="1">
        <w:r w:rsidR="00455589">
          <w:rPr>
            <w:rStyle w:val="Collegamentoipertestuale"/>
            <w:rFonts w:ascii="Trebuchet MS" w:hAnsi="Trebuchet MS"/>
            <w:color w:val="1A71CC"/>
            <w:sz w:val="17"/>
            <w:szCs w:val="17"/>
            <w:bdr w:val="none" w:sz="0" w:space="0" w:color="auto" w:frame="1"/>
            <w:shd w:val="clear" w:color="auto" w:fill="FFFFFF"/>
          </w:rPr>
          <w:t>http://fondazione.obiettivolavoro.it/</w:t>
        </w:r>
      </w:hyperlink>
    </w:p>
    <w:p w:rsidR="00455589" w:rsidRDefault="00455589" w:rsidP="00A8111A">
      <w:pPr>
        <w:tabs>
          <w:tab w:val="left" w:pos="1173"/>
        </w:tabs>
      </w:pPr>
    </w:p>
    <w:p w:rsidR="00A8111A" w:rsidRPr="00DD6BA3" w:rsidRDefault="00A8111A" w:rsidP="00A8111A">
      <w:pPr>
        <w:tabs>
          <w:tab w:val="left" w:pos="1173"/>
        </w:tabs>
      </w:pPr>
      <w:r w:rsidRPr="00A8111A">
        <w:br/>
      </w:r>
    </w:p>
    <w:sectPr w:rsidR="00A8111A" w:rsidRPr="00DD6BA3" w:rsidSect="00A8111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embedSystemFonts/>
  <w:proofState w:spelling="clean" w:grammar="clean"/>
  <w:doNotTrackMoves/>
  <w:defaultTabStop w:val="708"/>
  <w:autoHyphenation/>
  <w:hyphenationZone w:val="142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6BA3"/>
    <w:rsid w:val="002C5ACF"/>
    <w:rsid w:val="00455589"/>
    <w:rsid w:val="006C14BD"/>
    <w:rsid w:val="007B67F4"/>
    <w:rsid w:val="00A01F40"/>
    <w:rsid w:val="00A22A99"/>
    <w:rsid w:val="00A75ECC"/>
    <w:rsid w:val="00A8111A"/>
    <w:rsid w:val="00D063FD"/>
    <w:rsid w:val="00DD6BA3"/>
    <w:rsid w:val="00ED2C80"/>
  </w:rsids>
  <m:mathPr>
    <m:mathFont m:val="Adobe Caslon Pro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4C4DA2"/>
    <w:pPr>
      <w:spacing w:after="60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DA2"/>
    <w:pPr>
      <w:keepNext/>
      <w:keepLines/>
      <w:spacing w:before="480"/>
      <w:contextualSpacing/>
      <w:jc w:val="center"/>
      <w:outlineLvl w:val="0"/>
    </w:pPr>
    <w:rPr>
      <w:rFonts w:eastAsiaTheme="majorEastAsia" w:cstheme="majorBidi"/>
      <w:b/>
      <w:bCs/>
      <w:smallCaps/>
      <w:color w:val="345A8A" w:themeColor="accent1" w:themeShade="B5"/>
      <w:sz w:val="28"/>
      <w:szCs w:val="3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C4DA2"/>
    <w:rPr>
      <w:rFonts w:ascii="Garamond" w:eastAsiaTheme="majorEastAsia" w:hAnsi="Garamond" w:cstheme="majorBidi"/>
      <w:b/>
      <w:bCs/>
      <w:smallCaps/>
      <w:color w:val="345A8A" w:themeColor="accent1" w:themeShade="B5"/>
      <w:sz w:val="28"/>
      <w:szCs w:val="32"/>
    </w:rPr>
  </w:style>
  <w:style w:type="paragraph" w:customStyle="1" w:styleId="TITOLOPARAGRAFOBIL">
    <w:name w:val="TITOLO PARAGRAFO BIL"/>
    <w:next w:val="TESTOBILSOC"/>
    <w:qFormat/>
    <w:rsid w:val="00CA1C04"/>
    <w:pPr>
      <w:tabs>
        <w:tab w:val="left" w:pos="2400"/>
      </w:tabs>
      <w:spacing w:before="240" w:after="120"/>
      <w:jc w:val="center"/>
    </w:pPr>
    <w:rPr>
      <w:rFonts w:ascii="Arial Bold" w:eastAsia="Times New Roman" w:hAnsi="Arial Bold" w:cs="Tahoma"/>
      <w:caps/>
      <w:color w:val="003C8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A1C04"/>
    <w:pPr>
      <w:spacing w:after="0"/>
    </w:pPr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CA1C04"/>
    <w:rPr>
      <w:rFonts w:ascii="Courier" w:hAnsi="Courier"/>
      <w:sz w:val="21"/>
      <w:szCs w:val="21"/>
    </w:rPr>
  </w:style>
  <w:style w:type="paragraph" w:customStyle="1" w:styleId="TESTOBILSOC">
    <w:name w:val="TESTO BIL SOC"/>
    <w:qFormat/>
    <w:rsid w:val="00CA1C04"/>
    <w:pPr>
      <w:spacing w:after="60"/>
      <w:jc w:val="both"/>
    </w:pPr>
    <w:rPr>
      <w:rFonts w:ascii="Arial" w:eastAsia="Times New Roman" w:hAnsi="Arial" w:cs="Tahoma"/>
      <w:lang w:eastAsia="it-IT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CA1C04"/>
  </w:style>
  <w:style w:type="paragraph" w:customStyle="1" w:styleId="SOTTOTITOLOPARBIL">
    <w:name w:val="SOTTOTITOLO PAR BIL"/>
    <w:qFormat/>
    <w:rsid w:val="00CA1C04"/>
    <w:pPr>
      <w:spacing w:before="120" w:after="120"/>
    </w:pPr>
    <w:rPr>
      <w:rFonts w:ascii="Arial Bold" w:eastAsia="Times New Roman" w:hAnsi="Arial Bold" w:cs="Tahoma"/>
      <w:color w:val="003C80"/>
      <w:sz w:val="20"/>
      <w:lang w:eastAsia="it-IT"/>
    </w:rPr>
  </w:style>
  <w:style w:type="paragraph" w:customStyle="1" w:styleId="BILTESTO">
    <w:name w:val="BIL TESTO"/>
    <w:qFormat/>
    <w:rsid w:val="00CA1C04"/>
    <w:pPr>
      <w:spacing w:after="60"/>
      <w:jc w:val="both"/>
    </w:pPr>
    <w:rPr>
      <w:rFonts w:ascii="Arial" w:eastAsia="Times New Roman" w:hAnsi="Arial" w:cs="Tahoma"/>
      <w:sz w:val="20"/>
      <w:lang w:eastAsia="it-IT"/>
    </w:rPr>
  </w:style>
  <w:style w:type="paragraph" w:customStyle="1" w:styleId="BILSOTTOTITOLOPAR">
    <w:name w:val="BIL SOTTOTITOLO PAR"/>
    <w:qFormat/>
    <w:rsid w:val="00CA1C04"/>
    <w:pPr>
      <w:spacing w:before="240" w:after="240"/>
    </w:pPr>
    <w:rPr>
      <w:rFonts w:ascii="Arial Bold" w:eastAsia="Times New Roman" w:hAnsi="Arial Bold" w:cs="Tahoma"/>
      <w:caps/>
      <w:color w:val="003C80"/>
      <w:sz w:val="20"/>
      <w:lang w:eastAsia="it-IT"/>
    </w:rPr>
  </w:style>
  <w:style w:type="paragraph" w:customStyle="1" w:styleId="BILTITOLOPARAGRAFO">
    <w:name w:val="BIL TITOLO PARAGRAFO"/>
    <w:next w:val="BILTESTO"/>
    <w:qFormat/>
    <w:rsid w:val="00CA1C04"/>
    <w:pPr>
      <w:tabs>
        <w:tab w:val="left" w:pos="2400"/>
      </w:tabs>
      <w:spacing w:before="360" w:after="240"/>
      <w:jc w:val="center"/>
    </w:pPr>
    <w:rPr>
      <w:rFonts w:ascii="Arial Bold" w:eastAsia="Times New Roman" w:hAnsi="Arial Bold" w:cs="Tahoma"/>
      <w:caps/>
      <w:color w:val="003C80"/>
      <w:lang w:eastAsia="it-IT"/>
    </w:rPr>
  </w:style>
  <w:style w:type="character" w:styleId="Collegamentoipertestuale">
    <w:name w:val="Hyperlink"/>
    <w:basedOn w:val="Caratterepredefinitoparagrafo"/>
    <w:rsid w:val="00455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marcomaggi@obiettivolavoro.it" TargetMode="External"/><Relationship Id="rId6" Type="http://schemas.openxmlformats.org/officeDocument/2006/relationships/hyperlink" Target="http://fondazione.obiettivolavoro.i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Macintosh Word</Application>
  <DocSecurity>0</DocSecurity>
  <Lines>25</Lines>
  <Paragraphs>6</Paragraphs>
  <ScaleCrop>false</ScaleCrop>
  <Company>Obiettivo Lavoro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orlandi</dc:creator>
  <cp:keywords/>
  <cp:lastModifiedBy>giorgio orlandi</cp:lastModifiedBy>
  <cp:revision>5</cp:revision>
  <cp:lastPrinted>2014-06-11T07:59:00Z</cp:lastPrinted>
  <dcterms:created xsi:type="dcterms:W3CDTF">2014-06-06T10:41:00Z</dcterms:created>
  <dcterms:modified xsi:type="dcterms:W3CDTF">2014-06-11T08:02:00Z</dcterms:modified>
</cp:coreProperties>
</file>